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6E213E" w:rsidP="19759BF6" w:rsidRDefault="006E213E" w14:paraId="18AC8242" wp14:textId="4FC80C38">
      <w:pPr>
        <w:rPr>
          <w:b w:val="1"/>
          <w:bCs w:val="1"/>
          <w:lang w:val="en-IE"/>
        </w:rPr>
      </w:pPr>
      <w:bookmarkStart w:name="_GoBack" w:id="0"/>
      <w:bookmarkEnd w:id="0"/>
      <w:r w:rsidRPr="19759BF6" w:rsidR="163DFB34">
        <w:rPr>
          <w:b w:val="1"/>
          <w:bCs w:val="1"/>
          <w:lang w:val="en-IE"/>
        </w:rPr>
        <w:t>INTRODUCTION</w:t>
      </w:r>
    </w:p>
    <w:p w:rsidR="63FE4C66" w:rsidP="50B30178" w:rsidRDefault="63FE4C66" w14:paraId="0D2EA2CA" w14:textId="2B8D46EB">
      <w:pPr>
        <w:rPr>
          <w:rStyle w:val="normaltextrun"/>
          <w:i w:val="1"/>
          <w:iCs w:val="1"/>
          <w:color w:val="FF0000"/>
          <w:lang w:val="en-IE"/>
        </w:rPr>
      </w:pPr>
      <w:r w:rsidRPr="50B30178" w:rsidR="47D834F5">
        <w:rPr>
          <w:lang w:val="en-IE"/>
        </w:rPr>
        <w:t>The</w:t>
      </w:r>
      <w:r w:rsidRPr="50B30178" w:rsidR="59BDE9D0">
        <w:rPr>
          <w:lang w:val="en-IE"/>
        </w:rPr>
        <w:t xml:space="preserve"> RESIN</w:t>
      </w:r>
      <w:r w:rsidRPr="50B30178" w:rsidR="47D834F5">
        <w:rPr>
          <w:lang w:val="en-IE"/>
        </w:rPr>
        <w:t xml:space="preserve"> </w:t>
      </w:r>
      <w:r w:rsidRPr="50B30178" w:rsidR="715930EC">
        <w:rPr>
          <w:lang w:val="en-IE"/>
        </w:rPr>
        <w:t xml:space="preserve">Maturity Assessment Model for Research IT and Research Support Functions </w:t>
      </w:r>
      <w:r w:rsidRPr="50B30178" w:rsidR="47D834F5">
        <w:rPr>
          <w:lang w:val="en-IE"/>
        </w:rPr>
        <w:t xml:space="preserve">is </w:t>
      </w:r>
      <w:r w:rsidRPr="50B30178" w:rsidR="47D834F5">
        <w:rPr>
          <w:lang w:val="en-IE"/>
        </w:rPr>
        <w:t>fir</w:t>
      </w:r>
      <w:r w:rsidRPr="50B30178" w:rsidR="47D834F5">
        <w:rPr>
          <w:lang w:val="en-IE"/>
        </w:rPr>
        <w:t>st and foremost</w:t>
      </w:r>
      <w:r w:rsidRPr="50B30178" w:rsidR="47D834F5">
        <w:rPr>
          <w:lang w:val="en-IE"/>
        </w:rPr>
        <w:t xml:space="preserve"> de</w:t>
      </w:r>
      <w:r w:rsidRPr="50B30178" w:rsidR="47D834F5">
        <w:rPr>
          <w:lang w:val="en-IE"/>
        </w:rPr>
        <w:t xml:space="preserve">signed to enable institutions to conduct an internal analysis of their </w:t>
      </w:r>
      <w:r w:rsidRPr="50B30178" w:rsidR="77449CA1">
        <w:rPr>
          <w:lang w:val="en-IE"/>
        </w:rPr>
        <w:t xml:space="preserve">Research Support </w:t>
      </w:r>
      <w:r w:rsidRPr="50B30178" w:rsidR="47D834F5">
        <w:rPr>
          <w:lang w:val="en-IE"/>
        </w:rPr>
        <w:t>across the different areas of the organisation that have a role to play</w:t>
      </w:r>
      <w:r w:rsidRPr="50B30178" w:rsidR="47D834F5">
        <w:rPr>
          <w:lang w:val="en-IE"/>
        </w:rPr>
        <w:t xml:space="preserve">. </w:t>
      </w:r>
      <w:r w:rsidRPr="50B30178" w:rsidR="1A08B9E4">
        <w:rPr>
          <w:lang w:val="en-IE"/>
        </w:rPr>
        <w:t xml:space="preserve"> </w:t>
      </w:r>
      <w:commentRangeStart w:id="831063813"/>
      <w:commentRangeStart w:id="486890718"/>
      <w:commentRangeStart w:id="1079504517"/>
      <w:commentRangeEnd w:id="831063813"/>
      <w:r>
        <w:rPr>
          <w:rStyle w:val="CommentReference"/>
        </w:rPr>
        <w:commentReference w:id="831063813"/>
      </w:r>
      <w:commentRangeEnd w:id="486890718"/>
      <w:r>
        <w:rPr>
          <w:rStyle w:val="CommentReference"/>
        </w:rPr>
        <w:commentReference w:id="486890718"/>
      </w:r>
      <w:commentRangeEnd w:id="1079504517"/>
      <w:r>
        <w:rPr>
          <w:rStyle w:val="CommentReference"/>
        </w:rPr>
        <w:commentReference w:id="1079504517"/>
      </w:r>
    </w:p>
    <w:p w:rsidR="63FE4C66" w:rsidP="564F7FD8" w:rsidRDefault="63FE4C66" w14:paraId="4804CE07" w14:textId="60BE8652">
      <w:pPr>
        <w:pStyle w:val="Normal"/>
        <w:rPr>
          <w:lang w:val="en-IE"/>
        </w:rPr>
      </w:pPr>
      <w:r w:rsidRPr="50B30178" w:rsidR="56D8EAD9">
        <w:rPr>
          <w:lang w:val="en-IE"/>
        </w:rPr>
        <w:t>The scope of the m</w:t>
      </w:r>
      <w:r w:rsidRPr="50B30178" w:rsidR="3B1203DA">
        <w:rPr>
          <w:lang w:val="en-IE"/>
        </w:rPr>
        <w:t xml:space="preserve">odel </w:t>
      </w:r>
      <w:r w:rsidRPr="50B30178" w:rsidR="56D8EAD9">
        <w:rPr>
          <w:lang w:val="en-IE"/>
        </w:rPr>
        <w:t xml:space="preserve">centres on IT functionality – capabilities and requirements – as a nexus for what is included: what supports are </w:t>
      </w:r>
      <w:r w:rsidRPr="50B30178" w:rsidR="56D8EAD9">
        <w:rPr>
          <w:lang w:val="en-IE"/>
        </w:rPr>
        <w:t>required</w:t>
      </w:r>
      <w:r w:rsidRPr="50B30178" w:rsidR="56D8EAD9">
        <w:rPr>
          <w:lang w:val="en-IE"/>
        </w:rPr>
        <w:t xml:space="preserve"> for effective Research IT </w:t>
      </w:r>
      <w:r w:rsidRPr="50B30178" w:rsidR="56F5D8BC">
        <w:rPr>
          <w:lang w:val="en-IE"/>
        </w:rPr>
        <w:t xml:space="preserve">infrastructure, </w:t>
      </w:r>
      <w:r w:rsidRPr="50B30178" w:rsidR="057C06D1">
        <w:rPr>
          <w:lang w:val="en-IE"/>
        </w:rPr>
        <w:t xml:space="preserve">e.g., funding, </w:t>
      </w:r>
      <w:r w:rsidRPr="50B30178" w:rsidR="56F5D8BC">
        <w:rPr>
          <w:lang w:val="en-IE"/>
        </w:rPr>
        <w:t>and what</w:t>
      </w:r>
      <w:r w:rsidRPr="50B30178" w:rsidR="0B7A10D4">
        <w:rPr>
          <w:lang w:val="en-IE"/>
        </w:rPr>
        <w:t xml:space="preserve"> </w:t>
      </w:r>
      <w:r w:rsidRPr="50B30178" w:rsidR="56F5D8BC">
        <w:rPr>
          <w:lang w:val="en-IE"/>
        </w:rPr>
        <w:t>services are reliant on that infrastructure and services</w:t>
      </w:r>
      <w:r w:rsidRPr="50B30178" w:rsidR="6C196883">
        <w:rPr>
          <w:lang w:val="en-IE"/>
        </w:rPr>
        <w:t xml:space="preserve">, </w:t>
      </w:r>
      <w:r w:rsidRPr="50B30178" w:rsidR="6C196883">
        <w:rPr>
          <w:lang w:val="en-IE"/>
        </w:rPr>
        <w:t>e.g.,</w:t>
      </w:r>
      <w:r w:rsidRPr="50B30178" w:rsidR="6C196883">
        <w:rPr>
          <w:lang w:val="en-IE"/>
        </w:rPr>
        <w:t xml:space="preserve"> research data management.</w:t>
      </w:r>
    </w:p>
    <w:p w:rsidR="63FE4C66" w:rsidP="564F7FD8" w:rsidRDefault="63FE4C66" w14:paraId="6A0D7B55" w14:textId="637B2BA8">
      <w:pPr>
        <w:pStyle w:val="Normal"/>
        <w:jc w:val="center"/>
        <w:rPr>
          <w:lang w:val="en-IE"/>
        </w:rPr>
      </w:pPr>
      <w:r w:rsidR="7C7CCF33">
        <w:drawing>
          <wp:inline wp14:editId="19EAE23D" wp14:anchorId="2DE6EA11">
            <wp:extent cx="1626275" cy="2486025"/>
            <wp:effectExtent l="28575" t="28575" r="28575" b="28575"/>
            <wp:docPr id="13719476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8fa18b172ed453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26275" cy="248602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6E213E" w:rsidRDefault="006E213E" w14:paraId="3BDF5B4E" wp14:textId="77777777">
      <w:pPr>
        <w:rPr>
          <w:lang w:val="en-IE"/>
        </w:rPr>
      </w:pPr>
      <w:r w:rsidRPr="63FE4C66" w:rsidR="006E213E">
        <w:rPr>
          <w:lang w:val="en-IE"/>
        </w:rPr>
        <w:t xml:space="preserve">It is </w:t>
      </w:r>
      <w:r w:rsidRPr="63FE4C66" w:rsidR="006E213E">
        <w:rPr>
          <w:b w:val="1"/>
          <w:bCs w:val="1"/>
          <w:lang w:val="en-IE"/>
        </w:rPr>
        <w:t>not</w:t>
      </w:r>
      <w:r w:rsidRPr="63FE4C66" w:rsidR="006E213E">
        <w:rPr>
          <w:lang w:val="en-IE"/>
        </w:rPr>
        <w:t xml:space="preserve"> designed as a tool to benchmark against other institutions</w:t>
      </w:r>
      <w:r w:rsidRPr="63FE4C66" w:rsidR="000D3CE5">
        <w:rPr>
          <w:lang w:val="en-IE"/>
        </w:rPr>
        <w:t xml:space="preserve">/a nationally defined standard, but as an internal document to be used, amended, </w:t>
      </w:r>
      <w:r w:rsidRPr="63FE4C66" w:rsidR="00152C33">
        <w:rPr>
          <w:lang w:val="en-IE"/>
        </w:rPr>
        <w:t>and adjusted</w:t>
      </w:r>
      <w:r w:rsidRPr="63FE4C66" w:rsidR="000D3CE5">
        <w:rPr>
          <w:lang w:val="en-IE"/>
        </w:rPr>
        <w:t xml:space="preserve"> as is suitable for your institution.</w:t>
      </w:r>
    </w:p>
    <w:p w:rsidR="4E0D558B" w:rsidP="50B30178" w:rsidRDefault="4E0D558B" w14:paraId="7F8F6DE8" w14:textId="084AA5C2">
      <w:pPr>
        <w:pStyle w:val="Normal"/>
        <w:rPr>
          <w:b w:val="0"/>
          <w:bCs w:val="0"/>
          <w:i w:val="0"/>
          <w:iCs w:val="0"/>
          <w:lang w:val="en-IE"/>
        </w:rPr>
      </w:pPr>
      <w:r w:rsidRPr="50B30178" w:rsidR="302FB23C">
        <w:rPr>
          <w:b w:val="0"/>
          <w:bCs w:val="0"/>
          <w:i w:val="0"/>
          <w:iCs w:val="0"/>
          <w:lang w:val="en-IE"/>
        </w:rPr>
        <w:t>It is envisaged</w:t>
      </w:r>
      <w:r w:rsidRPr="50B30178" w:rsidR="1B123A59">
        <w:rPr>
          <w:b w:val="0"/>
          <w:bCs w:val="0"/>
          <w:i w:val="0"/>
          <w:iCs w:val="0"/>
          <w:lang w:val="en-IE"/>
        </w:rPr>
        <w:t xml:space="preserve">, however, that the </w:t>
      </w:r>
      <w:r w:rsidRPr="50B30178" w:rsidR="369B7306">
        <w:rPr>
          <w:b w:val="0"/>
          <w:bCs w:val="0"/>
          <w:i w:val="0"/>
          <w:iCs w:val="0"/>
          <w:lang w:val="en-IE"/>
        </w:rPr>
        <w:t>model</w:t>
      </w:r>
      <w:r w:rsidRPr="50B30178" w:rsidR="1B123A59">
        <w:rPr>
          <w:b w:val="0"/>
          <w:bCs w:val="0"/>
          <w:i w:val="0"/>
          <w:iCs w:val="0"/>
          <w:lang w:val="en-IE"/>
        </w:rPr>
        <w:t xml:space="preserve"> can</w:t>
      </w:r>
      <w:r w:rsidRPr="50B30178" w:rsidR="3FCF9BC8">
        <w:rPr>
          <w:b w:val="0"/>
          <w:bCs w:val="0"/>
          <w:i w:val="0"/>
          <w:iCs w:val="0"/>
          <w:lang w:val="en-IE"/>
        </w:rPr>
        <w:t xml:space="preserve"> </w:t>
      </w:r>
      <w:r w:rsidRPr="50B30178" w:rsidR="1B123A59">
        <w:rPr>
          <w:b w:val="0"/>
          <w:bCs w:val="0"/>
          <w:i w:val="0"/>
          <w:iCs w:val="0"/>
          <w:lang w:val="en-IE"/>
        </w:rPr>
        <w:t>be used by institutions to assess their position and any requirements relating to the goals outlined in IMPACT 2030 and the</w:t>
      </w:r>
      <w:r w:rsidRPr="50B30178" w:rsidR="7440C355">
        <w:rPr>
          <w:b w:val="0"/>
          <w:bCs w:val="0"/>
          <w:i w:val="0"/>
          <w:iCs w:val="0"/>
          <w:lang w:val="en-IE"/>
        </w:rPr>
        <w:t xml:space="preserve"> NORF National Action Plan for Open Research.</w:t>
      </w:r>
    </w:p>
    <w:p xmlns:wp14="http://schemas.microsoft.com/office/word/2010/wordml" w:rsidR="006E213E" w:rsidRDefault="006E213E" w14:paraId="1680B902" wp14:textId="77777777">
      <w:r>
        <w:t xml:space="preserve">The following </w:t>
      </w:r>
      <w:r w:rsidR="000D3CE5">
        <w:t xml:space="preserve">functional </w:t>
      </w:r>
      <w:r>
        <w:t>areas are included:</w:t>
      </w:r>
    </w:p>
    <w:p xmlns:wp14="http://schemas.microsoft.com/office/word/2010/wordml" w:rsidR="007E6211" w:rsidP="006E213E" w:rsidRDefault="006E213E" w14:paraId="177682BC" wp14:textId="77777777">
      <w:pPr>
        <w:pStyle w:val="ListParagraph"/>
        <w:numPr>
          <w:ilvl w:val="0"/>
          <w:numId w:val="1"/>
        </w:numPr>
      </w:pPr>
      <w:r>
        <w:t>Research IT Support Structure</w:t>
      </w:r>
    </w:p>
    <w:p xmlns:wp14="http://schemas.microsoft.com/office/word/2010/wordml" w:rsidR="006E213E" w:rsidP="006E213E" w:rsidRDefault="006E213E" w14:paraId="519B5EDA" wp14:textId="77777777">
      <w:pPr>
        <w:pStyle w:val="ListParagraph"/>
        <w:numPr>
          <w:ilvl w:val="0"/>
          <w:numId w:val="1"/>
        </w:numPr>
      </w:pPr>
      <w:r>
        <w:t>Research IT Funding</w:t>
      </w:r>
    </w:p>
    <w:p xmlns:wp14="http://schemas.microsoft.com/office/word/2010/wordml" w:rsidR="006E213E" w:rsidP="006E213E" w:rsidRDefault="006E213E" w14:paraId="76B65E64" wp14:textId="77777777">
      <w:pPr>
        <w:pStyle w:val="ListParagraph"/>
        <w:numPr>
          <w:ilvl w:val="0"/>
          <w:numId w:val="1"/>
        </w:numPr>
      </w:pPr>
      <w:r>
        <w:t>Research Data Management Services</w:t>
      </w:r>
    </w:p>
    <w:p xmlns:wp14="http://schemas.microsoft.com/office/word/2010/wordml" w:rsidR="006E213E" w:rsidP="006E213E" w:rsidRDefault="006E213E" w14:paraId="0B1329B1" wp14:textId="37EE30BC">
      <w:pPr>
        <w:pStyle w:val="ListParagraph"/>
        <w:numPr>
          <w:ilvl w:val="0"/>
          <w:numId w:val="1"/>
        </w:numPr>
        <w:rPr/>
      </w:pPr>
      <w:r w:rsidR="47D834F5">
        <w:rPr/>
        <w:t>Research</w:t>
      </w:r>
      <w:r w:rsidR="66AA3B48">
        <w:rPr/>
        <w:t xml:space="preserve"> Management </w:t>
      </w:r>
    </w:p>
    <w:p xmlns:wp14="http://schemas.microsoft.com/office/word/2010/wordml" w:rsidR="000D3CE5" w:rsidP="63FE4C66" w:rsidRDefault="000D3CE5" w14:paraId="63005364" wp14:textId="06A9B6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lang w:val="en-IE"/>
        </w:rPr>
      </w:pPr>
      <w:r w:rsidRPr="50B30178" w:rsidR="6178381D">
        <w:rPr>
          <w:lang w:val="en-IE"/>
        </w:rPr>
        <w:t xml:space="preserve">Capturing the </w:t>
      </w:r>
      <w:r w:rsidRPr="50B30178" w:rsidR="6178381D">
        <w:rPr>
          <w:lang w:val="en-IE"/>
        </w:rPr>
        <w:t>capacity</w:t>
      </w:r>
      <w:r w:rsidRPr="50B30178" w:rsidR="6178381D">
        <w:rPr>
          <w:lang w:val="en-IE"/>
        </w:rPr>
        <w:t xml:space="preserve"> and capabilities of each of these areas is necessary</w:t>
      </w:r>
      <w:r w:rsidRPr="50B30178" w:rsidR="030EF112">
        <w:rPr>
          <w:lang w:val="en-IE"/>
        </w:rPr>
        <w:t>,</w:t>
      </w:r>
      <w:r w:rsidRPr="50B30178" w:rsidR="6178381D">
        <w:rPr>
          <w:lang w:val="en-IE"/>
        </w:rPr>
        <w:t xml:space="preserve"> as all play a key role in achieving </w:t>
      </w:r>
      <w:r w:rsidRPr="50B30178" w:rsidR="411985EB">
        <w:rPr>
          <w:lang w:val="en-IE"/>
        </w:rPr>
        <w:t>a high functioning Research</w:t>
      </w:r>
      <w:r w:rsidRPr="50B30178" w:rsidR="6178381D">
        <w:rPr>
          <w:lang w:val="en-IE"/>
        </w:rPr>
        <w:t xml:space="preserve"> </w:t>
      </w:r>
      <w:r w:rsidRPr="50B30178" w:rsidR="6178381D">
        <w:rPr>
          <w:lang w:val="en-IE"/>
        </w:rPr>
        <w:t xml:space="preserve">environment. </w:t>
      </w:r>
      <w:r w:rsidRPr="50B30178" w:rsidR="21A27BD4">
        <w:rPr>
          <w:lang w:val="en-IE"/>
        </w:rPr>
        <w:t xml:space="preserve">To that end, </w:t>
      </w:r>
      <w:r w:rsidRPr="50B30178" w:rsidR="6178381D">
        <w:rPr>
          <w:lang w:val="en-IE"/>
        </w:rPr>
        <w:t xml:space="preserve">the </w:t>
      </w:r>
      <w:r w:rsidRPr="50B30178" w:rsidR="788ACEE6">
        <w:rPr>
          <w:lang w:val="en-IE"/>
        </w:rPr>
        <w:t>model</w:t>
      </w:r>
      <w:r w:rsidRPr="50B30178" w:rsidR="6178381D">
        <w:rPr>
          <w:lang w:val="en-IE"/>
        </w:rPr>
        <w:t xml:space="preserve"> also </w:t>
      </w:r>
      <w:r w:rsidRPr="50B30178" w:rsidR="6178381D">
        <w:rPr>
          <w:lang w:val="en-IE"/>
        </w:rPr>
        <w:t>seeks</w:t>
      </w:r>
      <w:r w:rsidRPr="50B30178" w:rsidR="6178381D">
        <w:rPr>
          <w:lang w:val="en-IE"/>
        </w:rPr>
        <w:t xml:space="preserve"> to capture the interaction between these functional areas</w:t>
      </w:r>
      <w:r w:rsidRPr="50B30178" w:rsidR="535E3EEC">
        <w:rPr>
          <w:lang w:val="en-IE"/>
        </w:rPr>
        <w:t>,</w:t>
      </w:r>
      <w:r w:rsidRPr="50B30178" w:rsidR="6178381D">
        <w:rPr>
          <w:lang w:val="en-IE"/>
        </w:rPr>
        <w:t xml:space="preserve"> </w:t>
      </w:r>
      <w:r w:rsidRPr="50B30178" w:rsidR="707C7526">
        <w:rPr>
          <w:lang w:val="en-IE"/>
        </w:rPr>
        <w:t>which</w:t>
      </w:r>
      <w:r w:rsidRPr="50B30178" w:rsidR="707C7526">
        <w:rPr>
          <w:lang w:val="en-IE"/>
        </w:rPr>
        <w:t xml:space="preserve"> we </w:t>
      </w:r>
      <w:r w:rsidRPr="50B30178" w:rsidR="16B525C1">
        <w:rPr>
          <w:lang w:val="en-IE"/>
        </w:rPr>
        <w:t>call ‘</w:t>
      </w:r>
      <w:r w:rsidRPr="50B30178" w:rsidR="6178381D">
        <w:rPr>
          <w:lang w:val="en-IE"/>
        </w:rPr>
        <w:t>Governance and Coordination</w:t>
      </w:r>
      <w:r w:rsidRPr="50B30178" w:rsidR="6178381D">
        <w:rPr>
          <w:lang w:val="en-IE"/>
        </w:rPr>
        <w:t>’.</w:t>
      </w:r>
    </w:p>
    <w:p xmlns:wp14="http://schemas.microsoft.com/office/word/2010/wordml" w:rsidR="000D3CE5" w:rsidRDefault="000D3CE5" w14:paraId="4739A964" wp14:textId="2C64837B">
      <w:pPr>
        <w:rPr>
          <w:lang w:val="en-IE"/>
        </w:rPr>
      </w:pPr>
      <w:r w:rsidRPr="50B30178" w:rsidR="6178381D">
        <w:rPr>
          <w:lang w:val="en-IE"/>
        </w:rPr>
        <w:t xml:space="preserve">While each functional area is delineated in the </w:t>
      </w:r>
      <w:r w:rsidRPr="50B30178" w:rsidR="1BDAC81F">
        <w:rPr>
          <w:lang w:val="en-IE"/>
        </w:rPr>
        <w:t>model</w:t>
      </w:r>
      <w:r w:rsidRPr="50B30178" w:rsidR="6178381D">
        <w:rPr>
          <w:lang w:val="en-IE"/>
        </w:rPr>
        <w:t xml:space="preserve">, it is unlikely that each section can be answered by just one function, </w:t>
      </w:r>
      <w:r w:rsidRPr="50B30178" w:rsidR="499BCC02">
        <w:rPr>
          <w:lang w:val="en-IE"/>
        </w:rPr>
        <w:t>e.g.,</w:t>
      </w:r>
      <w:r w:rsidRPr="50B30178" w:rsidR="6178381D">
        <w:rPr>
          <w:lang w:val="en-IE"/>
        </w:rPr>
        <w:t xml:space="preserve"> IT may </w:t>
      </w:r>
      <w:r w:rsidRPr="50B30178" w:rsidR="6178381D">
        <w:rPr>
          <w:lang w:val="en-IE"/>
        </w:rPr>
        <w:t>be required</w:t>
      </w:r>
      <w:r w:rsidRPr="50B30178" w:rsidR="6178381D">
        <w:rPr>
          <w:lang w:val="en-IE"/>
        </w:rPr>
        <w:t xml:space="preserve"> to answer a question on archival storage solutions (which sits within the RDM </w:t>
      </w:r>
      <w:r w:rsidRPr="50B30178" w:rsidR="3CD0B0E6">
        <w:rPr>
          <w:lang w:val="en-IE"/>
        </w:rPr>
        <w:t>model</w:t>
      </w:r>
      <w:r w:rsidRPr="50B30178" w:rsidR="6178381D">
        <w:rPr>
          <w:lang w:val="en-IE"/>
        </w:rPr>
        <w:t xml:space="preserve"> area). As such, we recommend the </w:t>
      </w:r>
      <w:r w:rsidRPr="50B30178" w:rsidR="3CD0B0E6">
        <w:rPr>
          <w:lang w:val="en-IE"/>
        </w:rPr>
        <w:t>model</w:t>
      </w:r>
      <w:r w:rsidRPr="50B30178" w:rsidR="6178381D">
        <w:rPr>
          <w:lang w:val="en-IE"/>
        </w:rPr>
        <w:t xml:space="preserve"> is completed collaboratively.</w:t>
      </w:r>
    </w:p>
    <w:p w:rsidR="19759BF6" w:rsidP="564F7FD8" w:rsidRDefault="19759BF6" w14:paraId="39B0674A" w14:textId="1CCADB0B">
      <w:pPr>
        <w:jc w:val="both"/>
        <w:rPr>
          <w:lang w:val="en-IE"/>
        </w:rPr>
      </w:pPr>
      <w:r w:rsidRPr="564F7FD8" w:rsidR="00152C33">
        <w:rPr>
          <w:lang w:val="en-IE"/>
        </w:rPr>
        <w:t xml:space="preserve">Each capability </w:t>
      </w:r>
      <w:r w:rsidRPr="564F7FD8" w:rsidR="00152C33">
        <w:rPr>
          <w:lang w:val="en-IE"/>
        </w:rPr>
        <w:t xml:space="preserve">can be ‘marked’ from Level 0 through to Level 3. There is also </w:t>
      </w:r>
      <w:r w:rsidRPr="564F7FD8" w:rsidR="00152C33">
        <w:rPr>
          <w:lang w:val="en-IE"/>
        </w:rPr>
        <w:t>an option</w:t>
      </w:r>
      <w:r w:rsidRPr="564F7FD8" w:rsidR="00152C33">
        <w:rPr>
          <w:lang w:val="en-IE"/>
        </w:rPr>
        <w:t xml:space="preserve"> to select when something does not apply to your organisation</w:t>
      </w:r>
      <w:r w:rsidRPr="564F7FD8" w:rsidR="0050415B">
        <w:rPr>
          <w:lang w:val="en-IE"/>
        </w:rPr>
        <w:t xml:space="preserve"> – ‘Not Relevant</w:t>
      </w:r>
      <w:r w:rsidRPr="564F7FD8" w:rsidR="0050415B">
        <w:rPr>
          <w:lang w:val="en-IE"/>
        </w:rPr>
        <w:t>’</w:t>
      </w:r>
      <w:r w:rsidRPr="564F7FD8" w:rsidR="00152C33">
        <w:rPr>
          <w:lang w:val="en-IE"/>
        </w:rPr>
        <w:t>.</w:t>
      </w:r>
      <w:r w:rsidRPr="564F7FD8" w:rsidR="00152C33">
        <w:rPr>
          <w:lang w:val="en-IE"/>
        </w:rPr>
        <w:t xml:space="preserve"> Level 0 should be used when there is no service provided, but it </w:t>
      </w:r>
      <w:r w:rsidRPr="564F7FD8" w:rsidR="00152C33">
        <w:rPr>
          <w:i w:val="1"/>
          <w:iCs w:val="1"/>
          <w:lang w:val="en-IE"/>
        </w:rPr>
        <w:t xml:space="preserve">should </w:t>
      </w:r>
      <w:r w:rsidRPr="564F7FD8" w:rsidR="00152C33">
        <w:rPr>
          <w:lang w:val="en-IE"/>
        </w:rPr>
        <w:t xml:space="preserve">be and/or is planned for the service, </w:t>
      </w:r>
      <w:r w:rsidRPr="564F7FD8" w:rsidR="00152C33">
        <w:rPr>
          <w:lang w:val="en-IE"/>
        </w:rPr>
        <w:t>whereas</w:t>
      </w:r>
      <w:r w:rsidRPr="564F7FD8" w:rsidR="00152C33">
        <w:rPr>
          <w:lang w:val="en-IE"/>
        </w:rPr>
        <w:t xml:space="preserve"> the ‘not relevant’ </w:t>
      </w:r>
      <w:r w:rsidRPr="564F7FD8" w:rsidR="00152C33">
        <w:rPr>
          <w:lang w:val="en-IE"/>
        </w:rPr>
        <w:t>option</w:t>
      </w:r>
      <w:r w:rsidRPr="564F7FD8" w:rsidR="00152C33">
        <w:rPr>
          <w:lang w:val="en-IE"/>
        </w:rPr>
        <w:t xml:space="preserve"> should be taken where there is no plan or wish to provide this service; it is simply not a relevant question for you.</w:t>
      </w:r>
    </w:p>
    <w:p xmlns:wp14="http://schemas.microsoft.com/office/word/2010/wordml" w:rsidR="00152C33" w:rsidP="00152C33" w:rsidRDefault="00152C33" w14:paraId="1D5C7F61" wp14:textId="77777777">
      <w:pPr>
        <w:jc w:val="both"/>
        <w:rPr>
          <w:lang w:val="en-IE"/>
        </w:rPr>
      </w:pPr>
      <w:r>
        <w:rPr>
          <w:lang w:val="en-IE"/>
        </w:rPr>
        <w:t xml:space="preserve">Each of the levels are described in terms of what a service at that level may look like. E.g. </w:t>
      </w:r>
    </w:p>
    <w:tbl>
      <w:tblPr>
        <w:tblW w:w="9454" w:type="dxa"/>
        <w:tblInd w:w="-5" w:type="dxa"/>
        <w:tblLook w:val="04A0" w:firstRow="1" w:lastRow="0" w:firstColumn="1" w:lastColumn="0" w:noHBand="0" w:noVBand="1"/>
      </w:tblPr>
      <w:tblGrid>
        <w:gridCol w:w="1994"/>
        <w:gridCol w:w="1865"/>
        <w:gridCol w:w="1865"/>
        <w:gridCol w:w="1865"/>
        <w:gridCol w:w="1865"/>
      </w:tblGrid>
      <w:tr xmlns:wp14="http://schemas.microsoft.com/office/word/2010/wordml" w:rsidRPr="004511D6" w:rsidR="0050415B" w:rsidTr="0050415B" w14:paraId="603F3309" wp14:textId="77777777">
        <w:trPr>
          <w:trHeight w:val="304"/>
        </w:trPr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511D6" w:rsidR="0050415B" w:rsidP="002B4741" w:rsidRDefault="0050415B" w14:paraId="66ED67BC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511D6" w:rsidR="0050415B" w:rsidP="002B4741" w:rsidRDefault="0050415B" w14:paraId="17AEA9CC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level 0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511D6" w:rsidR="0050415B" w:rsidP="002B4741" w:rsidRDefault="0050415B" w14:paraId="6F81EA36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level 1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511D6" w:rsidR="0050415B" w:rsidP="002B4741" w:rsidRDefault="0050415B" w14:paraId="692F15F1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level 2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4511D6" w:rsidR="0050415B" w:rsidP="002B4741" w:rsidRDefault="0050415B" w14:paraId="1D8BFE1B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level 3</w:t>
            </w:r>
          </w:p>
        </w:tc>
      </w:tr>
      <w:tr xmlns:wp14="http://schemas.microsoft.com/office/word/2010/wordml" w:rsidRPr="004511D6" w:rsidR="0050415B" w:rsidTr="0050415B" w14:paraId="349EE8E6" wp14:textId="77777777">
        <w:trPr>
          <w:trHeight w:val="190"/>
        </w:trPr>
        <w:tc>
          <w:tcPr>
            <w:tcW w:w="1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4511D6" w:rsidR="0050415B" w:rsidP="002B4741" w:rsidRDefault="0050415B" w14:paraId="32DC5639" wp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 xml:space="preserve">Does your </w:t>
            </w:r>
            <w:proofErr w:type="spellStart"/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>organisation</w:t>
            </w:r>
            <w:proofErr w:type="spellEnd"/>
            <w:r w:rsidRPr="004511D6">
              <w:rPr>
                <w:rFonts w:ascii="Calibri" w:hAnsi="Calibri" w:eastAsia="Times New Roman" w:cs="Calibri"/>
                <w:b/>
                <w:bCs/>
                <w:color w:val="000000"/>
                <w:sz w:val="18"/>
                <w:szCs w:val="18"/>
              </w:rPr>
              <w:t xml:space="preserve"> deal with Data Governance within strategic documents and plans?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4511D6" w:rsidR="0050415B" w:rsidP="002B4741" w:rsidRDefault="0050415B" w14:paraId="4721891D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 xml:space="preserve">No Open Research strategy. No RDM strategy. Open Research and RDM not mentioned in any institutional strategy documents. 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4511D6" w:rsidR="0050415B" w:rsidP="002B4741" w:rsidRDefault="0050415B" w14:paraId="493F740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Open Research mentioned and assigned actions in a wider institutional strategy without specific actions or targets for RDM/FAIR or Open Data.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4511D6" w:rsidR="0050415B" w:rsidP="002B4741" w:rsidRDefault="0050415B" w14:paraId="2D467BE2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 xml:space="preserve">Open Research called out in an institutional strategic plan </w:t>
            </w:r>
            <w:proofErr w:type="spellStart"/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wth</w:t>
            </w:r>
            <w:proofErr w:type="spellEnd"/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 xml:space="preserve"> dedicated actions to enable a FAIR/Open Data research environment.  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4511D6" w:rsidR="0050415B" w:rsidP="002B4741" w:rsidRDefault="0050415B" w14:paraId="27CD387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4511D6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Dedicated institutional Open Research Strategy which directly addresses FAIR/Open Data and RDM with targeted actions.</w:t>
            </w:r>
          </w:p>
        </w:tc>
      </w:tr>
    </w:tbl>
    <w:p xmlns:wp14="http://schemas.microsoft.com/office/word/2010/wordml" w:rsidR="00152C33" w:rsidP="00152C33" w:rsidRDefault="00152C33" w14:paraId="672A6659" wp14:textId="77777777">
      <w:pPr>
        <w:jc w:val="both"/>
        <w:rPr>
          <w:lang w:val="en-IE"/>
        </w:rPr>
      </w:pPr>
    </w:p>
    <w:p xmlns:wp14="http://schemas.microsoft.com/office/word/2010/wordml" w:rsidR="00152C33" w:rsidP="00152C33" w:rsidRDefault="0050415B" w14:paraId="56A0D854" wp14:textId="44F1E198">
      <w:pPr>
        <w:jc w:val="both"/>
        <w:rPr>
          <w:lang w:val="en-IE"/>
        </w:rPr>
      </w:pPr>
      <w:r w:rsidRPr="50B30178" w:rsidR="4A5D1794">
        <w:rPr>
          <w:lang w:val="en-IE"/>
        </w:rPr>
        <w:t xml:space="preserve">It is likely that not all descriptions will match your organisation exactly; you may not </w:t>
      </w:r>
      <w:r w:rsidRPr="50B30178" w:rsidR="4A5D1794">
        <w:rPr>
          <w:lang w:val="en-IE"/>
        </w:rPr>
        <w:t>provide</w:t>
      </w:r>
      <w:r w:rsidRPr="50B30178" w:rsidR="4A5D1794">
        <w:rPr>
          <w:lang w:val="en-IE"/>
        </w:rPr>
        <w:t xml:space="preserve"> something listed, but </w:t>
      </w:r>
      <w:r w:rsidRPr="50B30178" w:rsidR="4A5D1794">
        <w:rPr>
          <w:lang w:val="en-IE"/>
        </w:rPr>
        <w:t>provide</w:t>
      </w:r>
      <w:r w:rsidRPr="50B30178" w:rsidR="4A5D1794">
        <w:rPr>
          <w:lang w:val="en-IE"/>
        </w:rPr>
        <w:t xml:space="preserve"> something that is not included, for example. A decision of where you believe the </w:t>
      </w:r>
      <w:r w:rsidRPr="50B30178" w:rsidR="4A5D1794">
        <w:rPr>
          <w:lang w:val="en-IE"/>
        </w:rPr>
        <w:t xml:space="preserve">organisation to be at based on knowledge of the area and the </w:t>
      </w:r>
      <w:r w:rsidRPr="50B30178" w:rsidR="415C20B8">
        <w:rPr>
          <w:lang w:val="en-IE"/>
        </w:rPr>
        <w:t>aim</w:t>
      </w:r>
      <w:r w:rsidRPr="50B30178" w:rsidR="4A5D1794">
        <w:rPr>
          <w:lang w:val="en-IE"/>
        </w:rPr>
        <w:t xml:space="preserve"> for the service is an internal decision; the </w:t>
      </w:r>
      <w:r w:rsidRPr="50B30178" w:rsidR="0512A59E">
        <w:rPr>
          <w:lang w:val="en-IE"/>
        </w:rPr>
        <w:t>model</w:t>
      </w:r>
      <w:r w:rsidRPr="50B30178" w:rsidR="4A5D1794">
        <w:rPr>
          <w:lang w:val="en-IE"/>
        </w:rPr>
        <w:t xml:space="preserve"> is a supporting document in this regard. Similarly, a local decision may be </w:t>
      </w:r>
      <w:r w:rsidRPr="50B30178" w:rsidR="4A5D1794">
        <w:rPr>
          <w:lang w:val="en-IE"/>
        </w:rPr>
        <w:t>required</w:t>
      </w:r>
      <w:r w:rsidRPr="50B30178" w:rsidR="4A5D1794">
        <w:rPr>
          <w:lang w:val="en-IE"/>
        </w:rPr>
        <w:t xml:space="preserve"> if a service is between two levels. </w:t>
      </w:r>
    </w:p>
    <w:p xmlns:wp14="http://schemas.microsoft.com/office/word/2010/wordml" w:rsidR="00152C33" w:rsidP="0050415B" w:rsidRDefault="0050415B" w14:paraId="090050C9" wp14:textId="663D3843">
      <w:pPr>
        <w:jc w:val="both"/>
        <w:rPr>
          <w:lang w:val="en-IE"/>
        </w:rPr>
      </w:pPr>
      <w:r w:rsidRPr="19759BF6" w:rsidR="0050415B">
        <w:rPr>
          <w:lang w:val="en-IE"/>
        </w:rPr>
        <w:t xml:space="preserve">It may also be the case that your organisation </w:t>
      </w:r>
      <w:r w:rsidRPr="19759BF6" w:rsidR="0050415B">
        <w:rPr>
          <w:lang w:val="en-IE"/>
        </w:rPr>
        <w:t>provides</w:t>
      </w:r>
      <w:r w:rsidRPr="19759BF6" w:rsidR="0050415B">
        <w:rPr>
          <w:lang w:val="en-IE"/>
        </w:rPr>
        <w:t xml:space="preserve"> a service to a certain level, but has no plans to extend it, </w:t>
      </w:r>
      <w:r w:rsidRPr="19759BF6" w:rsidR="604ADE5A">
        <w:rPr>
          <w:lang w:val="en-IE"/>
        </w:rPr>
        <w:t>i.e.,</w:t>
      </w:r>
      <w:r w:rsidRPr="19759BF6" w:rsidR="0050415B">
        <w:rPr>
          <w:lang w:val="en-IE"/>
        </w:rPr>
        <w:t xml:space="preserve"> ‘reach’ Level 3, and that you consider the service fully mature for your institutional purpose. As an internal document (and conversation), there is no expectation that Level 3 is the aim for all institutions in each case. </w:t>
      </w:r>
    </w:p>
    <w:p xmlns:wp14="http://schemas.microsoft.com/office/word/2010/wordml" w:rsidR="000D3CE5" w:rsidP="50B30178" w:rsidRDefault="000D3CE5" w14:paraId="71AD4298" wp14:textId="3CD32B7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50B30178" w:rsidR="6178381D">
        <w:rPr>
          <w:rStyle w:val="normaltextrun"/>
          <w:rFonts w:ascii="Calibri" w:hAnsi="Calibri" w:cs="Calibri"/>
          <w:sz w:val="22"/>
          <w:szCs w:val="22"/>
          <w:lang w:val="en-IE"/>
        </w:rPr>
        <w:t>It is envisioned that by capturing what is currently in place</w:t>
      </w:r>
      <w:r w:rsidRPr="50B30178" w:rsidR="2FB8C56B">
        <w:rPr>
          <w:rStyle w:val="normaltextrun"/>
          <w:rFonts w:ascii="Calibri" w:hAnsi="Calibri" w:cs="Calibri"/>
          <w:sz w:val="22"/>
          <w:szCs w:val="22"/>
          <w:lang w:val="en-IE"/>
        </w:rPr>
        <w:t>,</w:t>
      </w:r>
      <w:r w:rsidRPr="50B30178" w:rsidR="6178381D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the outputs and outcome of the </w:t>
      </w:r>
      <w:r w:rsidRPr="50B30178" w:rsidR="49E92D99">
        <w:rPr>
          <w:rStyle w:val="normaltextrun"/>
          <w:rFonts w:ascii="Calibri" w:hAnsi="Calibri" w:cs="Calibri"/>
          <w:sz w:val="22"/>
          <w:szCs w:val="22"/>
          <w:lang w:val="en-IE"/>
        </w:rPr>
        <w:t>model</w:t>
      </w:r>
      <w:r w:rsidRPr="50B30178" w:rsidR="6178381D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will </w:t>
      </w:r>
      <w:r w:rsidRPr="50B30178" w:rsidR="6178381D">
        <w:rPr>
          <w:rStyle w:val="normaltextrun"/>
          <w:rFonts w:ascii="Calibri" w:hAnsi="Calibri" w:cs="Calibri"/>
          <w:sz w:val="22"/>
          <w:szCs w:val="22"/>
          <w:lang w:val="en-IE"/>
        </w:rPr>
        <w:t>provide</w:t>
      </w:r>
      <w:r w:rsidRPr="50B30178" w:rsidR="6178381D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information on the following areas; </w:t>
      </w:r>
      <w:r w:rsidRPr="50B30178" w:rsidR="6178381D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152C33" w:rsidP="000D3CE5" w:rsidRDefault="00152C33" w14:paraId="0A37501D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0D3CE5" w:rsidP="000D3CE5" w:rsidRDefault="00152C33" w14:paraId="45EADFDB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A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clear assessment the current service provisio</w:t>
      </w:r>
      <w:r>
        <w:rPr>
          <w:rStyle w:val="normaltextrun"/>
          <w:rFonts w:ascii="Calibri" w:hAnsi="Calibri" w:cs="Calibri"/>
          <w:sz w:val="22"/>
          <w:szCs w:val="22"/>
          <w:lang w:val="en-IE"/>
        </w:rPr>
        <w:t>n,</w:t>
      </w:r>
    </w:p>
    <w:p xmlns:wp14="http://schemas.microsoft.com/office/word/2010/wordml" w:rsidR="000D3CE5" w:rsidP="000D3CE5" w:rsidRDefault="00152C33" w14:paraId="5C48A0ED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A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n overview of service maturity level, 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152C33" w14:paraId="316606F6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O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verview of integration, overlap and collaboration between services, 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63FE4C66" w:rsidRDefault="00152C33" w14:paraId="5549171F" wp14:textId="5D8FB463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63FE4C66" w:rsidR="7D415CDD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Cross-functional 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research </w:t>
      </w:r>
      <w:r w:rsidRPr="63FE4C66" w:rsidR="28785264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support 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workflows, </w:t>
      </w:r>
    </w:p>
    <w:p xmlns:wp14="http://schemas.microsoft.com/office/word/2010/wordml" w:rsidR="000D3CE5" w:rsidP="000D3CE5" w:rsidRDefault="00152C33" w14:paraId="50699970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I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dentification</w:t>
      </w:r>
      <w:r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of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duplication of effort, gaps or areas for improvement in the current offering, 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152C33" w:rsidR="00152C33" w:rsidP="63FE4C66" w:rsidRDefault="00152C33" w14:paraId="7CFF6AFA" wp14:textId="6E992505">
      <w:pPr>
        <w:pStyle w:val="paragraph"/>
        <w:numPr>
          <w:ilvl w:val="0"/>
          <w:numId w:val="3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n-IE"/>
        </w:rPr>
      </w:pPr>
      <w:r w:rsidRPr="63FE4C66" w:rsidR="00152C33">
        <w:rPr>
          <w:rStyle w:val="normaltextrun"/>
          <w:rFonts w:ascii="Calibri" w:hAnsi="Calibri" w:cs="Calibri"/>
          <w:sz w:val="22"/>
          <w:szCs w:val="22"/>
          <w:lang w:val="en-IE"/>
        </w:rPr>
        <w:t>Identification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and articulation of roles and responsibilities </w:t>
      </w:r>
      <w:r w:rsidRPr="63FE4C66" w:rsidR="00152C33">
        <w:rPr>
          <w:rStyle w:val="normaltextrun"/>
          <w:rFonts w:ascii="Calibri" w:hAnsi="Calibri" w:cs="Calibri"/>
          <w:sz w:val="22"/>
          <w:szCs w:val="22"/>
          <w:lang w:val="en-IE"/>
        </w:rPr>
        <w:t>regarding</w:t>
      </w:r>
      <w:r w:rsidRPr="63FE4C66" w:rsidR="00152C33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Research</w:t>
      </w:r>
      <w:r w:rsidRPr="63FE4C66" w:rsidR="4A03A34A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Support.</w:t>
      </w:r>
    </w:p>
    <w:p xmlns:wp14="http://schemas.microsoft.com/office/word/2010/wordml" w:rsidR="000D3CE5" w:rsidP="00152C33" w:rsidRDefault="000D3CE5" w14:paraId="6E7BEAA2" wp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0D3CE5" w14:paraId="3F7EF265" wp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And will provide the potential for these follow up actions to be considered where appropriate;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152C33" w:rsidP="000D3CE5" w:rsidRDefault="00152C33" w14:paraId="5DAB6C7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="000D3CE5" w:rsidP="63FE4C66" w:rsidRDefault="00152C33" w14:paraId="4D636245" wp14:textId="015A41CA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 w:rsidRPr="63FE4C66" w:rsidR="00152C33">
        <w:rPr>
          <w:rStyle w:val="normaltextrun"/>
          <w:rFonts w:ascii="Calibri" w:hAnsi="Calibri" w:cs="Calibri"/>
          <w:sz w:val="22"/>
          <w:szCs w:val="22"/>
          <w:lang w:val="en-IE"/>
        </w:rPr>
        <w:t>A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n open conversation on </w:t>
      </w:r>
      <w:r w:rsidRPr="63FE4C66" w:rsidR="00152C33">
        <w:rPr>
          <w:rStyle w:val="normaltextrun"/>
          <w:rFonts w:ascii="Calibri" w:hAnsi="Calibri" w:cs="Calibri"/>
          <w:sz w:val="22"/>
          <w:szCs w:val="22"/>
          <w:lang w:val="en-IE"/>
        </w:rPr>
        <w:t>Research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</w:t>
      </w:r>
      <w:r w:rsidRPr="63FE4C66" w:rsidR="504AD4D0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Support </w:t>
      </w:r>
      <w:r w:rsidRPr="63FE4C66" w:rsidR="000D3CE5">
        <w:rPr>
          <w:rStyle w:val="normaltextrun"/>
          <w:rFonts w:ascii="Calibri" w:hAnsi="Calibri" w:cs="Calibri"/>
          <w:sz w:val="22"/>
          <w:szCs w:val="22"/>
          <w:lang w:val="en-IE"/>
        </w:rPr>
        <w:t>with buy-in across the institution at all levels,</w:t>
      </w:r>
      <w:r w:rsidRPr="63FE4C66"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152C33" w14:paraId="12E29F3E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A 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basis for a discussion between service and infrastructure providers and users,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152C33" w14:paraId="216DE1BD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A 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roadmap towards a holistic service with next steps in future service development and inputs from key stakeholders,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152C33" w14:paraId="12E07679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C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>reate the potential for shared services and collaboration between central services,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P="000D3CE5" w:rsidRDefault="00152C33" w14:paraId="7559C15B" wp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IE"/>
        </w:rPr>
        <w:t>A</w:t>
      </w:r>
      <w:r w:rsidR="000D3CE5">
        <w:rPr>
          <w:rStyle w:val="normaltextrun"/>
          <w:rFonts w:ascii="Calibri" w:hAnsi="Calibri" w:cs="Calibri"/>
          <w:sz w:val="22"/>
          <w:szCs w:val="22"/>
          <w:lang w:val="en-IE"/>
        </w:rPr>
        <w:t xml:space="preserve"> collective voice when creating a business case for new services or resources.</w:t>
      </w:r>
      <w:r w:rsidR="000D3CE5"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="000D3CE5" w:rsidRDefault="000D3CE5" w14:paraId="02EB378F" wp14:textId="77777777">
      <w:pPr>
        <w:rPr>
          <w:lang w:val="en-IE"/>
        </w:rPr>
      </w:pPr>
    </w:p>
    <w:p xmlns:wp14="http://schemas.microsoft.com/office/word/2010/wordml" w:rsidR="00B92D40" w:rsidRDefault="00B92D40" w14:paraId="5EE05F56" wp14:textId="77777777">
      <w:pPr>
        <w:rPr>
          <w:lang w:val="en-IE"/>
        </w:rPr>
      </w:pPr>
      <w:r>
        <w:rPr>
          <w:lang w:val="en-IE"/>
        </w:rPr>
        <w:t>Whether an institution chooses to produce a formal report with recommendations for future service provision, is an internal matter, but may be useful in advocating for services and developing a future roadmap.</w:t>
      </w:r>
    </w:p>
    <w:p xmlns:wp14="http://schemas.microsoft.com/office/word/2010/wordml" w:rsidRPr="004A592A" w:rsidR="00B92D40" w:rsidP="00B92D40" w:rsidRDefault="00B92D40" w14:paraId="03B013A9" wp14:textId="340C60BA">
      <w:pPr>
        <w:rPr>
          <w:lang w:val="en-IE"/>
        </w:rPr>
      </w:pPr>
      <w:r w:rsidRPr="50B30178" w:rsidR="5F143E58">
        <w:rPr>
          <w:lang w:val="en-IE"/>
        </w:rPr>
        <w:t xml:space="preserve">Finally, the </w:t>
      </w:r>
      <w:r w:rsidRPr="50B30178" w:rsidR="49E92D99">
        <w:rPr>
          <w:lang w:val="en-IE"/>
        </w:rPr>
        <w:t>model</w:t>
      </w:r>
      <w:r w:rsidRPr="50B30178" w:rsidR="5F143E58">
        <w:rPr>
          <w:lang w:val="en-IE"/>
        </w:rPr>
        <w:t xml:space="preserve"> is not designed to be exclusive and can be used in collaboration with other models, e.g. </w:t>
      </w:r>
      <w:hyperlink r:id="R86aac6eb0e2b4a04">
        <w:r w:rsidRPr="50B30178" w:rsidR="5F143E58">
          <w:rPr>
            <w:rStyle w:val="Hyperlink"/>
            <w:lang w:val="en-IE"/>
          </w:rPr>
          <w:t>RISE</w:t>
        </w:r>
      </w:hyperlink>
      <w:r w:rsidRPr="50B30178" w:rsidR="5F143E58">
        <w:rPr>
          <w:lang w:val="en-IE"/>
        </w:rPr>
        <w:t xml:space="preserve">, Capability Maturity </w:t>
      </w:r>
      <w:r w:rsidRPr="50B30178" w:rsidR="5F143E58">
        <w:rPr>
          <w:lang w:val="en-IE"/>
        </w:rPr>
        <w:t>Modelling.</w:t>
      </w:r>
      <w:r w:rsidRPr="50B30178" w:rsidR="0B162F50">
        <w:rPr>
          <w:lang w:val="en-IE"/>
        </w:rPr>
        <w:t xml:space="preserve"> </w:t>
      </w:r>
      <w:r w:rsidRPr="50B30178" w:rsidR="5F143E58">
        <w:rPr>
          <w:lang w:val="en-IE"/>
        </w:rPr>
        <w:t>T</w:t>
      </w:r>
      <w:r w:rsidRPr="50B30178" w:rsidR="5F143E58">
        <w:rPr>
          <w:lang w:val="en-IE"/>
        </w:rPr>
        <w:t xml:space="preserve">he RESIN </w:t>
      </w:r>
      <w:r w:rsidRPr="50B30178" w:rsidR="31896817">
        <w:rPr>
          <w:lang w:val="en-IE"/>
        </w:rPr>
        <w:t>model</w:t>
      </w:r>
      <w:r w:rsidRPr="50B30178" w:rsidR="5F143E58">
        <w:rPr>
          <w:lang w:val="en-IE"/>
        </w:rPr>
        <w:t xml:space="preserve"> is envisaged to have a </w:t>
      </w:r>
      <w:r w:rsidRPr="50B30178" w:rsidR="30E59B8F">
        <w:rPr>
          <w:lang w:val="en-IE"/>
        </w:rPr>
        <w:t>3-year</w:t>
      </w:r>
      <w:r w:rsidRPr="50B30178" w:rsidR="5F143E58">
        <w:rPr>
          <w:lang w:val="en-IE"/>
        </w:rPr>
        <w:t xml:space="preserve"> lifecycle, with a review to be completed and an updated </w:t>
      </w:r>
      <w:r w:rsidRPr="50B30178" w:rsidR="31896817">
        <w:rPr>
          <w:lang w:val="en-IE"/>
        </w:rPr>
        <w:t>model</w:t>
      </w:r>
      <w:r w:rsidRPr="50B30178" w:rsidR="5F143E58">
        <w:rPr>
          <w:lang w:val="en-IE"/>
        </w:rPr>
        <w:t xml:space="preserve"> developed in 2027. This second iteration, envisaged to also have a </w:t>
      </w:r>
      <w:r w:rsidRPr="50B30178" w:rsidR="74FD4AB5">
        <w:rPr>
          <w:lang w:val="en-IE"/>
        </w:rPr>
        <w:t>3-year</w:t>
      </w:r>
      <w:r w:rsidRPr="50B30178" w:rsidR="5F143E58">
        <w:rPr>
          <w:lang w:val="en-IE"/>
        </w:rPr>
        <w:t xml:space="preserve"> lifecycle</w:t>
      </w:r>
      <w:r w:rsidRPr="50B30178" w:rsidR="03222068">
        <w:rPr>
          <w:lang w:val="en-IE"/>
        </w:rPr>
        <w:t xml:space="preserve"> (to 2030)</w:t>
      </w:r>
      <w:r w:rsidRPr="50B30178" w:rsidR="5F143E58">
        <w:rPr>
          <w:lang w:val="en-IE"/>
        </w:rPr>
        <w:t xml:space="preserve">, ties in with the timeline of the </w:t>
      </w:r>
      <w:hyperlink r:id="Raee90f0ec789495f">
        <w:r w:rsidRPr="50B30178" w:rsidR="5F143E58">
          <w:rPr>
            <w:color w:val="0563C1"/>
            <w:u w:val="single"/>
            <w:lang w:val="en-IE"/>
          </w:rPr>
          <w:t>IMPACT 2030 strategy</w:t>
        </w:r>
      </w:hyperlink>
      <w:r w:rsidRPr="50B30178" w:rsidR="03222068">
        <w:rPr>
          <w:color w:val="0563C1"/>
          <w:u w:val="single"/>
          <w:lang w:val="en-IE"/>
        </w:rPr>
        <w:t>,</w:t>
      </w:r>
      <w:r w:rsidRPr="50B30178" w:rsidR="03222068">
        <w:rPr>
          <w:lang w:val="en-IE"/>
        </w:rPr>
        <w:t xml:space="preserve"> and will serve as a tool for institution</w:t>
      </w:r>
      <w:r w:rsidRPr="50B30178" w:rsidR="03222068">
        <w:rPr>
          <w:lang w:val="en-IE"/>
        </w:rPr>
        <w:t>al alignment to this strategy as relevant and</w:t>
      </w:r>
      <w:r w:rsidRPr="50B30178" w:rsidR="03222068">
        <w:rPr>
          <w:lang w:val="en-IE"/>
        </w:rPr>
        <w:t xml:space="preserve"> </w:t>
      </w:r>
      <w:r w:rsidRPr="50B30178" w:rsidR="03222068">
        <w:rPr>
          <w:lang w:val="en-IE"/>
        </w:rPr>
        <w:t>appropriat</w:t>
      </w:r>
      <w:r w:rsidRPr="50B30178" w:rsidR="03222068">
        <w:rPr>
          <w:lang w:val="en-IE"/>
        </w:rPr>
        <w:t>e</w:t>
      </w:r>
      <w:r w:rsidRPr="50B30178" w:rsidR="03222068">
        <w:rPr>
          <w:lang w:val="en-IE"/>
        </w:rPr>
        <w:t>.</w:t>
      </w:r>
    </w:p>
    <w:p w:rsidR="19759BF6" w:rsidP="19759BF6" w:rsidRDefault="19759BF6" w14:paraId="691965DE" w14:textId="360F8DC8">
      <w:pPr>
        <w:pStyle w:val="Normal"/>
        <w:rPr>
          <w:lang w:val="en-IE"/>
        </w:rPr>
      </w:pPr>
    </w:p>
    <w:p w:rsidR="75C9673B" w:rsidP="19759BF6" w:rsidRDefault="75C9673B" w14:noSpellErr="1" w14:paraId="2C227D05">
      <w:pPr>
        <w:rPr>
          <w:b w:val="1"/>
          <w:bCs w:val="1"/>
          <w:color w:val="FF0000"/>
          <w:lang w:val="en-IE"/>
        </w:rPr>
      </w:pPr>
      <w:r w:rsidRPr="19759BF6" w:rsidR="75C9673B">
        <w:rPr>
          <w:b w:val="1"/>
          <w:bCs w:val="1"/>
          <w:color w:val="FF0000"/>
          <w:lang w:val="en-IE"/>
        </w:rPr>
        <w:t>Insert case study here/usage example here.</w:t>
      </w:r>
    </w:p>
    <w:p w:rsidR="19759BF6" w:rsidP="19759BF6" w:rsidRDefault="19759BF6" w14:paraId="47CC7CC7" w14:textId="5E9EC4FC">
      <w:pPr>
        <w:pStyle w:val="Normal"/>
        <w:rPr>
          <w:lang w:val="en-IE"/>
        </w:rPr>
      </w:pPr>
    </w:p>
    <w:sectPr w:rsidRPr="004A592A" w:rsidR="00B92D4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LD" w:author="Lindsay Dowling" w:date="2023-05-04T18:13:53" w:id="831063813">
    <w:p w:rsidR="1AFBD10A" w:rsidRDefault="1AFBD10A" w14:paraId="72FF97C2" w14:textId="399269D2">
      <w:pPr>
        <w:pStyle w:val="CommentText"/>
      </w:pPr>
      <w:r w:rsidR="1AFBD10A">
        <w:rPr/>
        <w:t>I think we need to tighten this in relation to what we mean by 'infrastructure' - physical, human, both, must be underpinned by a technical capability/system etc. As per our lengthy discussion! This document should be 'in play' for the workshop.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RS" w:author="Roberto Sabatino" w:date="2023-05-10T13:55:50" w:id="486890718">
    <w:p w:rsidR="63FE4C66" w:rsidRDefault="63FE4C66" w14:paraId="3C40A6BA" w14:textId="1D5DA6B9">
      <w:pPr>
        <w:pStyle w:val="CommentText"/>
      </w:pPr>
      <w:r w:rsidR="63FE4C66">
        <w:rPr/>
        <w:t>maybe the right word is "structures"</w:t>
      </w:r>
      <w:r>
        <w:rPr>
          <w:rStyle w:val="CommentReference"/>
        </w:rPr>
        <w:annotationRef/>
      </w:r>
    </w:p>
  </w:comment>
  <w:comment w:initials="RS" w:author="Roberto Sabatino" w:date="2023-05-10T13:57:53" w:id="1079504517">
    <w:p w:rsidR="63FE4C66" w:rsidRDefault="63FE4C66" w14:paraId="3107BE07" w14:textId="132D09A1">
      <w:pPr>
        <w:pStyle w:val="CommentText"/>
      </w:pPr>
      <w:r w:rsidR="63FE4C66">
        <w:rPr/>
        <w:t>I think we need to emphasise that the model revolves around how the support structures support the IT and data needs of research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2FF97C2"/>
  <w15:commentEx w15:done="1" w15:paraId="3C40A6BA" w15:paraIdParent="72FF97C2"/>
  <w15:commentEx w15:done="1" w15:paraId="3107BE07" w15:paraIdParent="72FF97C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234AFF1" w16cex:dateUtc="2023-05-10T12:57:53.04Z"/>
  <w16cex:commentExtensible w16cex:durableId="7D923F78" w16cex:dateUtc="2023-05-10T12:55:50.863Z"/>
  <w16cex:commentExtensible w16cex:durableId="227910AD" w16cex:dateUtc="2023-05-04T17:13:53.0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2FF97C2" w16cid:durableId="227910AD"/>
  <w16cid:commentId w16cid:paraId="3C40A6BA" w16cid:durableId="7D923F78"/>
  <w16cid:commentId w16cid:paraId="3107BE07" w16cid:durableId="7234AF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A592A" w:rsidP="004A592A" w:rsidRDefault="004A592A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592A" w:rsidP="004A592A" w:rsidRDefault="004A592A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A592A" w:rsidP="004A592A" w:rsidRDefault="004A592A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592A" w:rsidP="004A592A" w:rsidRDefault="004A592A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658"/>
    <w:multiLevelType w:val="multilevel"/>
    <w:tmpl w:val="BEF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6457051"/>
    <w:multiLevelType w:val="multilevel"/>
    <w:tmpl w:val="4A84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FEA0BEE"/>
    <w:multiLevelType w:val="multilevel"/>
    <w:tmpl w:val="9D98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6CA42563"/>
    <w:multiLevelType w:val="hybridMultilevel"/>
    <w:tmpl w:val="1F985D9E"/>
    <w:lvl w:ilvl="0">
      <w:numFmt w:val="bullet"/>
      <w:lvlText w:val="-"/>
      <w:lvlJc w:val="left"/>
      <w:pPr>
        <w:ind w:left="405" w:hanging="360"/>
      </w:pPr>
      <w:rPr>
        <w:rFonts w:hint="default" w:ascii="Calibri" w:hAnsi="Calibri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4" w15:restartNumberingAfterBreak="0">
    <w:nsid w:val="7AE90EAB"/>
    <w:multiLevelType w:val="hybridMultilevel"/>
    <w:tmpl w:val="EDF2FA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oberto Sabatino">
    <w15:presenceInfo w15:providerId="AD" w15:userId="S::roberto.sabatino@heanet.ie::27bce482-1a66-4e75-8da4-04cdf5313dd6"/>
  </w15:person>
  <w15:person w15:author="Lindsay Dowling">
    <w15:presenceInfo w15:providerId="AD" w15:userId="S::lindsay.dowling_tudublin.ie#ext#@heanet.onmicrosoft.com::56b0e789-1cbb-44d9-9df0-9324bc2b877d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3E"/>
    <w:rsid w:val="000D3CE5"/>
    <w:rsid w:val="00152C33"/>
    <w:rsid w:val="004A592A"/>
    <w:rsid w:val="0050415B"/>
    <w:rsid w:val="006E213E"/>
    <w:rsid w:val="007E6211"/>
    <w:rsid w:val="00B92D40"/>
    <w:rsid w:val="030EF112"/>
    <w:rsid w:val="03222068"/>
    <w:rsid w:val="0334E92A"/>
    <w:rsid w:val="0512A59E"/>
    <w:rsid w:val="057C06D1"/>
    <w:rsid w:val="05C044DE"/>
    <w:rsid w:val="062CC8D5"/>
    <w:rsid w:val="0655EC78"/>
    <w:rsid w:val="074A0A91"/>
    <w:rsid w:val="0B162F50"/>
    <w:rsid w:val="0B7A10D4"/>
    <w:rsid w:val="0C9718EE"/>
    <w:rsid w:val="0EAA99FB"/>
    <w:rsid w:val="0FE2A470"/>
    <w:rsid w:val="10D59F3C"/>
    <w:rsid w:val="117919DB"/>
    <w:rsid w:val="11E92B73"/>
    <w:rsid w:val="14216FEA"/>
    <w:rsid w:val="14216FEA"/>
    <w:rsid w:val="1560B591"/>
    <w:rsid w:val="15F98A21"/>
    <w:rsid w:val="1624D2D7"/>
    <w:rsid w:val="163DFB34"/>
    <w:rsid w:val="16B525C1"/>
    <w:rsid w:val="17D9CB95"/>
    <w:rsid w:val="19759BF6"/>
    <w:rsid w:val="1A08B9E4"/>
    <w:rsid w:val="1AFBD10A"/>
    <w:rsid w:val="1B123A59"/>
    <w:rsid w:val="1B553456"/>
    <w:rsid w:val="1BDAC81F"/>
    <w:rsid w:val="1F06F9E9"/>
    <w:rsid w:val="1F9A3F81"/>
    <w:rsid w:val="21A27BD4"/>
    <w:rsid w:val="2230E8A7"/>
    <w:rsid w:val="238EBBFD"/>
    <w:rsid w:val="2428B9B5"/>
    <w:rsid w:val="2477B08F"/>
    <w:rsid w:val="2516885B"/>
    <w:rsid w:val="25C788C1"/>
    <w:rsid w:val="27F797F8"/>
    <w:rsid w:val="28785264"/>
    <w:rsid w:val="2A359E6F"/>
    <w:rsid w:val="2C302276"/>
    <w:rsid w:val="2C6DE0A6"/>
    <w:rsid w:val="2C6DE0A6"/>
    <w:rsid w:val="2C955E15"/>
    <w:rsid w:val="2E1DFE32"/>
    <w:rsid w:val="2FB8C56B"/>
    <w:rsid w:val="302FB23C"/>
    <w:rsid w:val="30CE9017"/>
    <w:rsid w:val="30E59B8F"/>
    <w:rsid w:val="313B0067"/>
    <w:rsid w:val="31896817"/>
    <w:rsid w:val="35869AB9"/>
    <w:rsid w:val="35B6028B"/>
    <w:rsid w:val="369B7306"/>
    <w:rsid w:val="3AB60C89"/>
    <w:rsid w:val="3ADD6262"/>
    <w:rsid w:val="3B1203DA"/>
    <w:rsid w:val="3CD0B0E6"/>
    <w:rsid w:val="3F126056"/>
    <w:rsid w:val="3F57DCC9"/>
    <w:rsid w:val="3FCF9BC8"/>
    <w:rsid w:val="3FE91FFA"/>
    <w:rsid w:val="411985EB"/>
    <w:rsid w:val="415C20B8"/>
    <w:rsid w:val="47D834F5"/>
    <w:rsid w:val="499BCC02"/>
    <w:rsid w:val="49E92D99"/>
    <w:rsid w:val="4A03A34A"/>
    <w:rsid w:val="4A5D1794"/>
    <w:rsid w:val="4BB9DC88"/>
    <w:rsid w:val="4C5992FC"/>
    <w:rsid w:val="4C737EDF"/>
    <w:rsid w:val="4D892369"/>
    <w:rsid w:val="4E0D558B"/>
    <w:rsid w:val="4E95C2BB"/>
    <w:rsid w:val="4EE13FB5"/>
    <w:rsid w:val="504AD4D0"/>
    <w:rsid w:val="508E10A4"/>
    <w:rsid w:val="50B30178"/>
    <w:rsid w:val="52D040F7"/>
    <w:rsid w:val="5317DF16"/>
    <w:rsid w:val="535E3EEC"/>
    <w:rsid w:val="5414193F"/>
    <w:rsid w:val="54B3AF77"/>
    <w:rsid w:val="54B3AF77"/>
    <w:rsid w:val="564F7FD8"/>
    <w:rsid w:val="56B7DCAD"/>
    <w:rsid w:val="56D8EAD9"/>
    <w:rsid w:val="56F5D8BC"/>
    <w:rsid w:val="59AADCA5"/>
    <w:rsid w:val="59BDE9D0"/>
    <w:rsid w:val="59F2B910"/>
    <w:rsid w:val="5E0CF510"/>
    <w:rsid w:val="5F143E58"/>
    <w:rsid w:val="604ADE5A"/>
    <w:rsid w:val="6057B330"/>
    <w:rsid w:val="60A236F5"/>
    <w:rsid w:val="611D49B1"/>
    <w:rsid w:val="6178381D"/>
    <w:rsid w:val="61EFF6C1"/>
    <w:rsid w:val="6271E84C"/>
    <w:rsid w:val="63FE4C66"/>
    <w:rsid w:val="669C7D29"/>
    <w:rsid w:val="66AA3B48"/>
    <w:rsid w:val="66B82168"/>
    <w:rsid w:val="66C367E4"/>
    <w:rsid w:val="68180FA2"/>
    <w:rsid w:val="68499CB8"/>
    <w:rsid w:val="68E6CC36"/>
    <w:rsid w:val="6C08E863"/>
    <w:rsid w:val="6C196883"/>
    <w:rsid w:val="6C85DFA5"/>
    <w:rsid w:val="6D9B7BB9"/>
    <w:rsid w:val="707C7526"/>
    <w:rsid w:val="70B34230"/>
    <w:rsid w:val="70D31C7B"/>
    <w:rsid w:val="715930EC"/>
    <w:rsid w:val="7440C355"/>
    <w:rsid w:val="74FD4AB5"/>
    <w:rsid w:val="75371909"/>
    <w:rsid w:val="757DE367"/>
    <w:rsid w:val="75C7E916"/>
    <w:rsid w:val="75C9673B"/>
    <w:rsid w:val="76FAD249"/>
    <w:rsid w:val="77449CA1"/>
    <w:rsid w:val="788ACEE6"/>
    <w:rsid w:val="7989CF43"/>
    <w:rsid w:val="7ACF292A"/>
    <w:rsid w:val="7B5E4C4A"/>
    <w:rsid w:val="7C7CCF33"/>
    <w:rsid w:val="7D415CDD"/>
    <w:rsid w:val="7D50BAB8"/>
    <w:rsid w:val="7D95D70D"/>
    <w:rsid w:val="7DCD9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B49CE"/>
  <w15:chartTrackingRefBased/>
  <w15:docId w15:val="{48C3A86F-973D-4081-9ADD-B7459636F7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3E"/>
    <w:pPr>
      <w:ind w:left="720"/>
      <w:contextualSpacing/>
    </w:pPr>
  </w:style>
  <w:style w:type="paragraph" w:styleId="paragraph" w:customStyle="1">
    <w:name w:val="paragraph"/>
    <w:basedOn w:val="Normal"/>
    <w:rsid w:val="000D3CE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D3CE5"/>
  </w:style>
  <w:style w:type="character" w:styleId="eop" w:customStyle="1">
    <w:name w:val="eop"/>
    <w:basedOn w:val="DefaultParagraphFont"/>
    <w:rsid w:val="000D3CE5"/>
  </w:style>
  <w:style w:type="character" w:styleId="Hyperlink">
    <w:name w:val="Hyperlink"/>
    <w:basedOn w:val="DefaultParagraphFont"/>
    <w:uiPriority w:val="99"/>
    <w:unhideWhenUsed/>
    <w:rsid w:val="00B92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7b6bae17027e4bd0" /><Relationship Type="http://schemas.microsoft.com/office/2011/relationships/people" Target="people.xml" Id="R1949df6ddd6149eb" /><Relationship Type="http://schemas.microsoft.com/office/2011/relationships/commentsExtended" Target="commentsExtended.xml" Id="Rd49b3133ce2e493b" /><Relationship Type="http://schemas.microsoft.com/office/2016/09/relationships/commentsIds" Target="commentsIds.xml" Id="Rc5517d922e754a7e" /><Relationship Type="http://schemas.microsoft.com/office/2018/08/relationships/commentsExtensible" Target="commentsExtensible.xml" Id="Rcb56bcdfa4994ea0" /><Relationship Type="http://schemas.openxmlformats.org/officeDocument/2006/relationships/image" Target="/media/image2.jpg" Id="Rd8fa18b172ed453b" /><Relationship Type="http://schemas.openxmlformats.org/officeDocument/2006/relationships/hyperlink" Target="https://www.dcc.ac.uk/sites/default/files/documents/publications/UsingRISE_v1_1.pdf" TargetMode="External" Id="R86aac6eb0e2b4a04" /><Relationship Type="http://schemas.openxmlformats.org/officeDocument/2006/relationships/hyperlink" Target="https://www.gov.ie/en/publication/27c78-impact-2030-irelands-new-research-and-innovation-strategy/" TargetMode="External" Id="Raee90f0ec78949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FC977FBBF6547B320A4B74D143E10" ma:contentTypeVersion="7" ma:contentTypeDescription="Create a new document." ma:contentTypeScope="" ma:versionID="8da00cbe4e7115a00eb5c683622c8890">
  <xsd:schema xmlns:xsd="http://www.w3.org/2001/XMLSchema" xmlns:xs="http://www.w3.org/2001/XMLSchema" xmlns:p="http://schemas.microsoft.com/office/2006/metadata/properties" xmlns:ns2="16da7e98-2af8-4387-8abf-7a161c70db9f" xmlns:ns3="b8196794-e66e-4d02-94a1-9f3d5d48c309" targetNamespace="http://schemas.microsoft.com/office/2006/metadata/properties" ma:root="true" ma:fieldsID="0357a630537494a15d37dc006449e69f" ns2:_="" ns3:_="">
    <xsd:import namespace="16da7e98-2af8-4387-8abf-7a161c70db9f"/>
    <xsd:import namespace="b8196794-e66e-4d02-94a1-9f3d5d48c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a7e98-2af8-4387-8abf-7a161c70d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6794-e66e-4d02-94a1-9f3d5d48c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3554C-5243-407C-BB13-9361E7B2FB7B}"/>
</file>

<file path=customXml/itemProps2.xml><?xml version="1.0" encoding="utf-8"?>
<ds:datastoreItem xmlns:ds="http://schemas.openxmlformats.org/officeDocument/2006/customXml" ds:itemID="{BE539D66-DE8C-40C8-8159-CD5728D61481}"/>
</file>

<file path=customXml/itemProps3.xml><?xml version="1.0" encoding="utf-8"?>
<ds:datastoreItem xmlns:ds="http://schemas.openxmlformats.org/officeDocument/2006/customXml" ds:itemID="{3377E21A-C7DE-4AF2-91FE-A851F21360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Lindsay Dowling</dc:creator>
  <keywords/>
  <dc:description/>
  <lastModifiedBy>Coffey, Aoife</lastModifiedBy>
  <revision>9</revision>
  <dcterms:created xsi:type="dcterms:W3CDTF">2023-04-18T14:49:00.0000000Z</dcterms:created>
  <dcterms:modified xsi:type="dcterms:W3CDTF">2023-05-22T10:58:51.8771419Z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0x010100695FC977FBBF6547B320A4B74D143E10</vt:lpwstr>
  </property>
</Properties>
</file>